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409A" w14:textId="77777777" w:rsidR="009078AD" w:rsidRPr="009078AD" w:rsidRDefault="009078AD" w:rsidP="009078AD">
      <w:pPr>
        <w:jc w:val="right"/>
        <w:rPr>
          <w:rFonts w:hint="default"/>
          <w:sz w:val="24"/>
          <w:szCs w:val="24"/>
        </w:rPr>
      </w:pPr>
      <w:r w:rsidRPr="009078AD">
        <w:rPr>
          <w:sz w:val="24"/>
          <w:szCs w:val="24"/>
        </w:rPr>
        <w:t>（様式２）</w:t>
      </w:r>
    </w:p>
    <w:p w14:paraId="38FAE625" w14:textId="44CE17A2" w:rsidR="009078AD" w:rsidRPr="00C9538E" w:rsidRDefault="009078AD" w:rsidP="009078AD">
      <w:pPr>
        <w:jc w:val="center"/>
        <w:rPr>
          <w:rFonts w:ascii="ＭＳ 明朝" w:hAnsi="ＭＳ 明朝" w:hint="default"/>
          <w:b/>
          <w:bCs/>
          <w:sz w:val="28"/>
          <w:szCs w:val="28"/>
        </w:rPr>
      </w:pPr>
      <w:r w:rsidRPr="00C9538E">
        <w:rPr>
          <w:b/>
          <w:bCs/>
          <w:sz w:val="28"/>
          <w:szCs w:val="28"/>
        </w:rPr>
        <w:t>認定地域クラブ認定要件確認書</w:t>
      </w:r>
    </w:p>
    <w:p w14:paraId="14C81A36" w14:textId="77777777" w:rsidR="009078AD" w:rsidRDefault="009078AD" w:rsidP="009078AD">
      <w:pPr>
        <w:rPr>
          <w:rFonts w:ascii="ＭＳ 明朝" w:hAnsi="ＭＳ 明朝" w:hint="default"/>
          <w:sz w:val="24"/>
          <w:szCs w:val="24"/>
        </w:rPr>
      </w:pPr>
    </w:p>
    <w:p w14:paraId="6C9E196E" w14:textId="77777777" w:rsidR="008A5C26" w:rsidRDefault="009078AD" w:rsidP="008A5C26">
      <w:pPr>
        <w:ind w:right="840" w:firstLineChars="100" w:firstLine="240"/>
        <w:rPr>
          <w:rFonts w:ascii="ＭＳ 明朝" w:hAnsi="ＭＳ 明朝" w:hint="default"/>
          <w:sz w:val="24"/>
          <w:szCs w:val="24"/>
        </w:rPr>
      </w:pPr>
      <w:r w:rsidRPr="006A5FCD">
        <w:rPr>
          <w:rFonts w:ascii="ＭＳ 明朝" w:hAnsi="ＭＳ 明朝"/>
          <w:sz w:val="24"/>
          <w:szCs w:val="24"/>
        </w:rPr>
        <w:t>次の認定要件に当てはまることを確認してください。</w:t>
      </w:r>
    </w:p>
    <w:p w14:paraId="3308FD67" w14:textId="6EA31648" w:rsidR="008A5C26" w:rsidRPr="008A5C26" w:rsidRDefault="005E165E" w:rsidP="008A5C26">
      <w:pPr>
        <w:ind w:right="840" w:firstLineChars="100" w:firstLine="240"/>
        <w:rPr>
          <w:rFonts w:ascii="ＭＳ 明朝" w:hAnsi="ＭＳ 明朝" w:hint="default"/>
          <w:sz w:val="20"/>
        </w:rPr>
      </w:pPr>
      <w:r>
        <w:rPr>
          <w:rFonts w:ascii="ＭＳ 明朝" w:hAnsi="ＭＳ 明朝" w:hint="default"/>
          <w:noProof/>
          <w:sz w:val="24"/>
          <w:szCs w:val="24"/>
        </w:rPr>
        <mc:AlternateContent>
          <mc:Choice Requires="wps">
            <w:drawing>
              <wp:anchor distT="0" distB="0" distL="114300" distR="114300" simplePos="0" relativeHeight="251659264" behindDoc="0" locked="0" layoutInCell="1" allowOverlap="1" wp14:anchorId="1DDC97B0" wp14:editId="7D51CE85">
                <wp:simplePos x="0" y="0"/>
                <wp:positionH relativeFrom="column">
                  <wp:posOffset>67310</wp:posOffset>
                </wp:positionH>
                <wp:positionV relativeFrom="paragraph">
                  <wp:posOffset>353060</wp:posOffset>
                </wp:positionV>
                <wp:extent cx="5829480" cy="6029280"/>
                <wp:effectExtent l="0" t="0" r="19050" b="10160"/>
                <wp:wrapTopAndBottom/>
                <wp:docPr id="651082067" name="テキスト ボックス 1"/>
                <wp:cNvGraphicFramePr/>
                <a:graphic xmlns:a="http://schemas.openxmlformats.org/drawingml/2006/main">
                  <a:graphicData uri="http://schemas.microsoft.com/office/word/2010/wordprocessingShape">
                    <wps:wsp>
                      <wps:cNvSpPr txBox="1"/>
                      <wps:spPr>
                        <a:xfrm>
                          <a:off x="0" y="0"/>
                          <a:ext cx="5829480" cy="6029280"/>
                        </a:xfrm>
                        <a:prstGeom prst="rect">
                          <a:avLst/>
                        </a:prstGeom>
                        <a:solidFill>
                          <a:schemeClr val="lt1"/>
                        </a:solidFill>
                        <a:ln w="6350">
                          <a:solidFill>
                            <a:prstClr val="black"/>
                          </a:solidFill>
                        </a:ln>
                      </wps:spPr>
                      <wps:txbx>
                        <w:txbxContent>
                          <w:p w14:paraId="40BB17D2" w14:textId="77777777" w:rsidR="005E165E" w:rsidRPr="005E165E" w:rsidRDefault="005E165E" w:rsidP="005E165E">
                            <w:pPr>
                              <w:ind w:firstLineChars="100" w:firstLine="220"/>
                              <w:rPr>
                                <w:rFonts w:ascii="ＭＳ ゴシック" w:eastAsia="ＭＳ ゴシック" w:hAnsi="ＭＳ ゴシック" w:hint="default"/>
                                <w:sz w:val="22"/>
                                <w:szCs w:val="22"/>
                                <w:bdr w:val="single" w:sz="4" w:space="0" w:color="auto"/>
                              </w:rPr>
                            </w:pPr>
                            <w:r w:rsidRPr="005E165E">
                              <w:rPr>
                                <w:rFonts w:ascii="ＭＳ ゴシック" w:eastAsia="ＭＳ ゴシック" w:hAnsi="ＭＳ ゴシック"/>
                                <w:sz w:val="22"/>
                                <w:szCs w:val="22"/>
                                <w:bdr w:val="single" w:sz="4" w:space="0" w:color="auto"/>
                              </w:rPr>
                              <w:t>クラブの組織に関すること</w:t>
                            </w:r>
                          </w:p>
                          <w:p w14:paraId="648DB0DF"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尼崎市立中学校の生徒を主な対象に、生徒の興味・関心を尊重し、多様な学びの場として、持続的に運営されるクラブであること。</w:t>
                            </w:r>
                          </w:p>
                          <w:p w14:paraId="2AC75632"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「子どもたちの学びを拡げるための尼崎市版地域クラブ活動の推進について（方針）」及び「尼崎市版地域クラブ活動ガイドライン」を遵守していること。</w:t>
                            </w:r>
                          </w:p>
                          <w:p w14:paraId="3C428751"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認定地域クラブとしての活動が非営利であること。</w:t>
                            </w:r>
                          </w:p>
                          <w:p w14:paraId="5F4E0F62"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活動場所が、原則、尼崎市内であること。</w:t>
                            </w:r>
                          </w:p>
                          <w:p w14:paraId="50B0FE17"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クラブの指導者等関係者が、尼崎市暴力団排除条例に規定する暴力団又は暴力団密接関係者に該当しないこと。</w:t>
                            </w:r>
                          </w:p>
                          <w:p w14:paraId="311089E1" w14:textId="77777777" w:rsidR="005E165E" w:rsidRPr="005E165E" w:rsidRDefault="005E165E" w:rsidP="005E165E">
                            <w:pPr>
                              <w:ind w:left="660" w:right="840" w:hangingChars="300" w:hanging="660"/>
                              <w:rPr>
                                <w:rFonts w:ascii="ＭＳ ゴシック" w:eastAsia="ＭＳ ゴシック" w:hAnsi="ＭＳ ゴシック" w:hint="default"/>
                                <w:sz w:val="22"/>
                                <w:szCs w:val="22"/>
                              </w:rPr>
                            </w:pPr>
                          </w:p>
                          <w:p w14:paraId="62864830" w14:textId="77777777" w:rsidR="005E165E" w:rsidRPr="005E165E" w:rsidRDefault="005E165E" w:rsidP="005E165E">
                            <w:pPr>
                              <w:ind w:right="840" w:firstLineChars="100" w:firstLine="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bdr w:val="single" w:sz="4" w:space="0" w:color="auto"/>
                              </w:rPr>
                              <w:t>クラブの活動方針や指導方針に関すること</w:t>
                            </w:r>
                          </w:p>
                          <w:p w14:paraId="548C5644"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クラブの指導者は、プレーヤーズ・センタードに基づき、次に掲げる方針の下で指導を行うこと。</w:t>
                            </w: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08"/>
                            </w:tblGrid>
                            <w:tr w:rsidR="005E165E" w:rsidRPr="005E165E" w14:paraId="0C9D9F0C" w14:textId="77777777" w:rsidTr="00E12040">
                              <w:tc>
                                <w:tcPr>
                                  <w:tcW w:w="8930" w:type="dxa"/>
                                </w:tcPr>
                                <w:p w14:paraId="26D66012"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ア　個性を伸ばし、友情を深めるなど好ましい人間関係を育て、常に地域クラブ活動の趣旨・目的を再確認し、対話を重視した指導を図る。</w:t>
                                  </w:r>
                                </w:p>
                                <w:p w14:paraId="09306590"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イ　生徒の声に積極的に耳を傾け、クラブ運営に活かす。</w:t>
                                  </w:r>
                                </w:p>
                                <w:p w14:paraId="20B502AE"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ウ　短期的な結果を追うのではなく、生徒の長期的なスポーツ等の活動を見据えた指導を行う。</w:t>
                                  </w:r>
                                </w:p>
                                <w:p w14:paraId="5B349DFB"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エ　指導者も常に学び続けながら、生徒の成長を支援する。</w:t>
                                  </w:r>
                                </w:p>
                              </w:tc>
                            </w:tr>
                          </w:tbl>
                          <w:p w14:paraId="15EB4250"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体罰の撲滅やコンプライアンスの遵守を約するほか、適宜の事務局の指導に従うこと。</w:t>
                            </w:r>
                          </w:p>
                          <w:p w14:paraId="7D5BBE51"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行き過ぎたスポーツ活動を行うことは、スポーツ外傷・障害やバーンアウトのリスクが高まり、体力・運動能力の向上につながらないということを正しく理解し、成長期にある生徒がバランスの取れた生活を送ることができるよう活動日数・時間を設定すること。</w:t>
                            </w:r>
                          </w:p>
                          <w:p w14:paraId="43A11FAA"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生徒の体力、健康状態、技能レベルや気温等の環境を考慮し、指導内容や水分補給、休息時間等を設定すること。</w:t>
                            </w:r>
                          </w:p>
                          <w:p w14:paraId="66FF8B3A" w14:textId="5AD37900"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緊急時における保護者や関係機関への連絡体制の整備など、生徒の安全確保に万全を期すること。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C97B0" id="_x0000_t202" coordsize="21600,21600" o:spt="202" path="m,l,21600r21600,l21600,xe">
                <v:stroke joinstyle="miter"/>
                <v:path gradientshapeok="t" o:connecttype="rect"/>
              </v:shapetype>
              <v:shape id="テキスト ボックス 1" o:spid="_x0000_s1026" type="#_x0000_t202" style="position:absolute;left:0;text-align:left;margin-left:5.3pt;margin-top:27.8pt;width:459pt;height:4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" fillcolor="white [3201]" strokeweight=".5pt">
                <v:textbox>
                  <w:txbxContent>
                    <w:p w14:paraId="40BB17D2" w14:textId="77777777" w:rsidR="005E165E" w:rsidRPr="005E165E" w:rsidRDefault="005E165E" w:rsidP="005E165E">
                      <w:pPr>
                        <w:ind w:firstLineChars="100" w:firstLine="220"/>
                        <w:rPr>
                          <w:rFonts w:ascii="ＭＳ ゴシック" w:eastAsia="ＭＳ ゴシック" w:hAnsi="ＭＳ ゴシック" w:hint="default"/>
                          <w:sz w:val="22"/>
                          <w:szCs w:val="22"/>
                          <w:bdr w:val="single" w:sz="4" w:space="0" w:color="auto"/>
                        </w:rPr>
                      </w:pPr>
                      <w:r w:rsidRPr="005E165E">
                        <w:rPr>
                          <w:rFonts w:ascii="ＭＳ ゴシック" w:eastAsia="ＭＳ ゴシック" w:hAnsi="ＭＳ ゴシック"/>
                          <w:sz w:val="22"/>
                          <w:szCs w:val="22"/>
                          <w:bdr w:val="single" w:sz="4" w:space="0" w:color="auto"/>
                        </w:rPr>
                        <w:t>クラブの組織に関すること</w:t>
                      </w:r>
                    </w:p>
                    <w:p w14:paraId="648DB0DF"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尼崎市立中学校の生徒を主な対象に、生徒の興味・関心を尊重し、多様な学びの場として、持続的に運営されるクラブであること。</w:t>
                      </w:r>
                    </w:p>
                    <w:p w14:paraId="2AC75632"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「子どもたちの学びを拡げるための尼崎市版地域クラブ活動の推進について（方針）」及び「尼崎市版地域クラブ活動ガイドライン」を遵守していること。</w:t>
                      </w:r>
                    </w:p>
                    <w:p w14:paraId="3C428751"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認定地域クラブとしての活動が非営利であること。</w:t>
                      </w:r>
                    </w:p>
                    <w:p w14:paraId="5F4E0F62"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活動場所が、原則、尼崎市内であること。</w:t>
                      </w:r>
                    </w:p>
                    <w:p w14:paraId="50B0FE17"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クラブの指導者等関係者が、尼崎市暴力団排除条例に規定する暴力団又は暴力団密接関係者に該当しないこと。</w:t>
                      </w:r>
                    </w:p>
                    <w:p w14:paraId="311089E1" w14:textId="77777777" w:rsidR="005E165E" w:rsidRPr="005E165E" w:rsidRDefault="005E165E" w:rsidP="005E165E">
                      <w:pPr>
                        <w:ind w:left="660" w:right="840" w:hangingChars="300" w:hanging="660"/>
                        <w:rPr>
                          <w:rFonts w:ascii="ＭＳ ゴシック" w:eastAsia="ＭＳ ゴシック" w:hAnsi="ＭＳ ゴシック" w:hint="default"/>
                          <w:sz w:val="22"/>
                          <w:szCs w:val="22"/>
                        </w:rPr>
                      </w:pPr>
                    </w:p>
                    <w:p w14:paraId="62864830" w14:textId="77777777" w:rsidR="005E165E" w:rsidRPr="005E165E" w:rsidRDefault="005E165E" w:rsidP="005E165E">
                      <w:pPr>
                        <w:ind w:right="840" w:firstLineChars="100" w:firstLine="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bdr w:val="single" w:sz="4" w:space="0" w:color="auto"/>
                        </w:rPr>
                        <w:t>クラブの活動方針や指導方針に関すること</w:t>
                      </w:r>
                    </w:p>
                    <w:p w14:paraId="548C5644"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クラブの指導者は、プレーヤーズ・センタードに基づき、次に掲げる方針の下で指導を行うこと。</w:t>
                      </w: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08"/>
                      </w:tblGrid>
                      <w:tr w:rsidR="005E165E" w:rsidRPr="005E165E" w14:paraId="0C9D9F0C" w14:textId="77777777" w:rsidTr="00E12040">
                        <w:tc>
                          <w:tcPr>
                            <w:tcW w:w="8930" w:type="dxa"/>
                          </w:tcPr>
                          <w:p w14:paraId="26D66012"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ア　個性を伸ばし、友情を深めるなど好ましい人間関係を育て、常に地域クラブ活動の趣旨・目的を再確認し、対話を重視した指導を図る。</w:t>
                            </w:r>
                          </w:p>
                          <w:p w14:paraId="09306590"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イ　生徒の声に積極的に耳を傾け、クラブ運営に活かす。</w:t>
                            </w:r>
                          </w:p>
                          <w:p w14:paraId="20B502AE"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ウ　短期的な結果を追うのではなく、生徒の長期的なスポーツ等の活動を見据えた指導を行う。</w:t>
                            </w:r>
                          </w:p>
                          <w:p w14:paraId="5B349DFB"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エ　指導者も常に学び続けながら、生徒の成長を支援する。</w:t>
                            </w:r>
                          </w:p>
                        </w:tc>
                      </w:tr>
                    </w:tbl>
                    <w:p w14:paraId="15EB4250"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体罰の撲滅やコンプライアンスの遵守を約するほか、適宜の事務局の指導に従うこと。</w:t>
                      </w:r>
                    </w:p>
                    <w:p w14:paraId="7D5BBE51"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行き過ぎたスポーツ活動を行うことは、スポーツ外傷・障害やバーンアウトのリスクが高まり、体力・運動能力の向上につながらないということを正しく理解し、成長期にある生徒がバランスの取れた生活を送ることができるよう活動日数・時間を設定すること。</w:t>
                      </w:r>
                    </w:p>
                    <w:p w14:paraId="43A11FAA" w14:textId="77777777"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生徒の体力、健康状態、技能レベルや気温等の環境を考慮し、指導内容や水分補給、休息時間等を設定すること。</w:t>
                      </w:r>
                    </w:p>
                    <w:p w14:paraId="66FF8B3A" w14:textId="5AD37900" w:rsidR="005E165E" w:rsidRPr="005E165E" w:rsidRDefault="005E165E" w:rsidP="005E165E">
                      <w:pPr>
                        <w:ind w:left="220" w:hangingChars="100" w:hanging="220"/>
                        <w:rPr>
                          <w:rFonts w:ascii="ＭＳ ゴシック" w:eastAsia="ＭＳ ゴシック" w:hAnsi="ＭＳ ゴシック" w:hint="default"/>
                          <w:sz w:val="22"/>
                          <w:szCs w:val="22"/>
                        </w:rPr>
                      </w:pPr>
                      <w:r w:rsidRPr="005E165E">
                        <w:rPr>
                          <w:rFonts w:ascii="ＭＳ ゴシック" w:eastAsia="ＭＳ ゴシック" w:hAnsi="ＭＳ ゴシック"/>
                          <w:sz w:val="22"/>
                          <w:szCs w:val="22"/>
                        </w:rPr>
                        <w:t>□　緊急時における保護者や関係機関への連絡体制の整備など、生徒の安全確保に万全を期すること。</w:t>
                      </w:r>
                    </w:p>
                  </w:txbxContent>
                </v:textbox>
                <w10:wrap type="topAndBottom"/>
              </v:shape>
            </w:pict>
          </mc:Fallback>
        </mc:AlternateContent>
      </w:r>
      <w:r w:rsidR="008A5C26" w:rsidRPr="008A5C26">
        <w:rPr>
          <w:rFonts w:ascii="ＭＳ 明朝" w:hAnsi="ＭＳ 明朝"/>
          <w:sz w:val="20"/>
        </w:rPr>
        <w:t>※□に✓をしてください。</w:t>
      </w:r>
    </w:p>
    <w:p w14:paraId="13AF1A98" w14:textId="77777777" w:rsidR="009078AD" w:rsidRDefault="009078AD" w:rsidP="009078AD">
      <w:pPr>
        <w:ind w:right="840"/>
        <w:rPr>
          <w:rFonts w:ascii="ＭＳ 明朝" w:hAnsi="ＭＳ 明朝" w:hint="default"/>
          <w:sz w:val="24"/>
          <w:szCs w:val="24"/>
        </w:rPr>
      </w:pPr>
    </w:p>
    <w:p w14:paraId="660C0497" w14:textId="77777777" w:rsidR="005E165E" w:rsidRPr="00C9538E" w:rsidRDefault="005E165E" w:rsidP="009078AD">
      <w:pPr>
        <w:ind w:right="840"/>
        <w:rPr>
          <w:rFonts w:ascii="ＭＳ 明朝" w:hAnsi="ＭＳ 明朝" w:hint="default"/>
          <w:sz w:val="24"/>
          <w:szCs w:val="24"/>
        </w:rPr>
      </w:pPr>
    </w:p>
    <w:p w14:paraId="7B12DDA9" w14:textId="77777777" w:rsidR="008A5C26" w:rsidRDefault="009078AD" w:rsidP="0085452A">
      <w:pPr>
        <w:ind w:firstLineChars="200" w:firstLine="480"/>
        <w:jc w:val="left"/>
        <w:rPr>
          <w:rFonts w:ascii="ＭＳ 明朝" w:hAnsi="ＭＳ 明朝" w:hint="default"/>
          <w:sz w:val="24"/>
          <w:szCs w:val="24"/>
        </w:rPr>
      </w:pPr>
      <w:r w:rsidRPr="00C9538E">
        <w:rPr>
          <w:rFonts w:ascii="ＭＳ 明朝" w:hAnsi="ＭＳ 明朝"/>
          <w:sz w:val="24"/>
          <w:szCs w:val="24"/>
        </w:rPr>
        <w:t xml:space="preserve">令和　　年　　月　　日　　　　　　　　　　　</w:t>
      </w:r>
    </w:p>
    <w:p w14:paraId="4ABB22C8" w14:textId="084285C7" w:rsidR="009078AD" w:rsidRPr="00C9538E" w:rsidRDefault="009078AD" w:rsidP="009078AD">
      <w:pPr>
        <w:ind w:firstLineChars="1600" w:firstLine="3840"/>
        <w:rPr>
          <w:rFonts w:ascii="ＭＳ 明朝" w:hAnsi="ＭＳ 明朝" w:hint="default"/>
          <w:sz w:val="24"/>
          <w:szCs w:val="24"/>
        </w:rPr>
      </w:pPr>
      <w:r w:rsidRPr="00C9538E">
        <w:rPr>
          <w:rFonts w:ascii="ＭＳ 明朝" w:hAnsi="ＭＳ 明朝"/>
          <w:sz w:val="24"/>
          <w:szCs w:val="24"/>
        </w:rPr>
        <w:t xml:space="preserve">　</w:t>
      </w:r>
    </w:p>
    <w:p w14:paraId="0832218F" w14:textId="5144CBB2" w:rsidR="009078AD" w:rsidRDefault="009078AD" w:rsidP="009078AD">
      <w:pPr>
        <w:ind w:firstLineChars="2100" w:firstLine="5040"/>
        <w:jc w:val="left"/>
        <w:rPr>
          <w:rFonts w:ascii="ＭＳ 明朝" w:hAnsi="ＭＳ 明朝" w:hint="default"/>
          <w:sz w:val="24"/>
          <w:szCs w:val="24"/>
          <w:u w:val="single"/>
        </w:rPr>
      </w:pPr>
      <w:r w:rsidRPr="00C9538E">
        <w:rPr>
          <w:rFonts w:ascii="ＭＳ 明朝" w:hAnsi="ＭＳ 明朝"/>
          <w:sz w:val="24"/>
          <w:szCs w:val="24"/>
          <w:u w:val="single"/>
        </w:rPr>
        <w:t xml:space="preserve">団体名　　　　　　　　　　　　　　　</w:t>
      </w:r>
    </w:p>
    <w:p w14:paraId="5FB0196B" w14:textId="77777777" w:rsidR="00C9538E" w:rsidRPr="00C9538E" w:rsidRDefault="00C9538E" w:rsidP="009078AD">
      <w:pPr>
        <w:ind w:firstLineChars="2100" w:firstLine="5040"/>
        <w:jc w:val="left"/>
        <w:rPr>
          <w:rFonts w:ascii="ＭＳ 明朝" w:hAnsi="ＭＳ 明朝" w:hint="default"/>
          <w:sz w:val="24"/>
          <w:szCs w:val="24"/>
          <w:u w:val="single"/>
        </w:rPr>
      </w:pPr>
    </w:p>
    <w:p w14:paraId="5A64DF12" w14:textId="57474006" w:rsidR="00B316FC" w:rsidRPr="00C9538E" w:rsidRDefault="009078AD" w:rsidP="00C9538E">
      <w:pPr>
        <w:ind w:firstLineChars="2100" w:firstLine="5040"/>
        <w:jc w:val="left"/>
        <w:rPr>
          <w:rFonts w:ascii="ＭＳ 明朝" w:hAnsi="ＭＳ 明朝" w:hint="default"/>
          <w:sz w:val="24"/>
          <w:szCs w:val="24"/>
          <w:u w:val="single"/>
        </w:rPr>
      </w:pPr>
      <w:r w:rsidRPr="00C9538E">
        <w:rPr>
          <w:rFonts w:ascii="ＭＳ 明朝" w:hAnsi="ＭＳ 明朝"/>
          <w:sz w:val="24"/>
          <w:szCs w:val="24"/>
          <w:u w:val="single"/>
        </w:rPr>
        <w:t xml:space="preserve">代表者名　　　　　　　　　　　　　　</w:t>
      </w:r>
    </w:p>
    <w:sectPr w:rsidR="00B316FC" w:rsidRPr="00C9538E" w:rsidSect="005E165E">
      <w:endnotePr>
        <w:numFmt w:val="decimal"/>
      </w:endnotePr>
      <w:pgSz w:w="11906" w:h="16838" w:code="9"/>
      <w:pgMar w:top="1134" w:right="1304" w:bottom="1134" w:left="1304" w:header="851" w:footer="0" w:gutter="0"/>
      <w:cols w:space="720"/>
      <w:docGrid w:type="lines" w:linePitch="34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65F2" w14:textId="77777777" w:rsidR="009808D7" w:rsidRDefault="009808D7" w:rsidP="005E165E">
      <w:pPr>
        <w:rPr>
          <w:rFonts w:hint="default"/>
        </w:rPr>
      </w:pPr>
      <w:r>
        <w:separator/>
      </w:r>
    </w:p>
  </w:endnote>
  <w:endnote w:type="continuationSeparator" w:id="0">
    <w:p w14:paraId="6003AD98" w14:textId="77777777" w:rsidR="009808D7" w:rsidRDefault="009808D7" w:rsidP="005E165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AF83" w14:textId="77777777" w:rsidR="009808D7" w:rsidRDefault="009808D7" w:rsidP="005E165E">
      <w:pPr>
        <w:rPr>
          <w:rFonts w:hint="default"/>
        </w:rPr>
      </w:pPr>
      <w:r>
        <w:separator/>
      </w:r>
    </w:p>
  </w:footnote>
  <w:footnote w:type="continuationSeparator" w:id="0">
    <w:p w14:paraId="5DA5D6A4" w14:textId="77777777" w:rsidR="009808D7" w:rsidRDefault="009808D7" w:rsidP="005E165E">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26E2A"/>
    <w:multiLevelType w:val="hybridMultilevel"/>
    <w:tmpl w:val="CE70183E"/>
    <w:lvl w:ilvl="0" w:tplc="91E20E10">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7006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AD"/>
    <w:rsid w:val="00071952"/>
    <w:rsid w:val="000E5864"/>
    <w:rsid w:val="00197B33"/>
    <w:rsid w:val="001A60BB"/>
    <w:rsid w:val="002074CE"/>
    <w:rsid w:val="003C13AE"/>
    <w:rsid w:val="00445149"/>
    <w:rsid w:val="00476033"/>
    <w:rsid w:val="005E165E"/>
    <w:rsid w:val="0061472D"/>
    <w:rsid w:val="00683F33"/>
    <w:rsid w:val="00727404"/>
    <w:rsid w:val="00727C14"/>
    <w:rsid w:val="00733AC5"/>
    <w:rsid w:val="007A4D22"/>
    <w:rsid w:val="00841184"/>
    <w:rsid w:val="0085452A"/>
    <w:rsid w:val="00857922"/>
    <w:rsid w:val="00891646"/>
    <w:rsid w:val="008A5C26"/>
    <w:rsid w:val="009078AD"/>
    <w:rsid w:val="00933434"/>
    <w:rsid w:val="009549C9"/>
    <w:rsid w:val="009808D7"/>
    <w:rsid w:val="00AF4F7C"/>
    <w:rsid w:val="00B316FC"/>
    <w:rsid w:val="00BA1164"/>
    <w:rsid w:val="00C539D3"/>
    <w:rsid w:val="00C607B4"/>
    <w:rsid w:val="00C823D2"/>
    <w:rsid w:val="00C9538E"/>
    <w:rsid w:val="00D22EC8"/>
    <w:rsid w:val="00EF6F4C"/>
    <w:rsid w:val="00FF7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D61EEF"/>
  <w15:chartTrackingRefBased/>
  <w15:docId w15:val="{9ED7DEB9-C456-477D-9199-A9212C20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8AD"/>
    <w:pPr>
      <w:widowControl w:val="0"/>
      <w:jc w:val="both"/>
      <w:textAlignment w:val="baseline"/>
    </w:pPr>
    <w:rPr>
      <w:rFonts w:ascii="Century" w:hAnsi="Century" w:cs="Arial" w:hint="eastAsia"/>
      <w:color w:val="000000"/>
      <w:kern w:val="0"/>
      <w:sz w:val="21"/>
    </w:rPr>
  </w:style>
  <w:style w:type="paragraph" w:styleId="1">
    <w:name w:val="heading 1"/>
    <w:basedOn w:val="a"/>
    <w:next w:val="a"/>
    <w:link w:val="10"/>
    <w:uiPriority w:val="9"/>
    <w:qFormat/>
    <w:rsid w:val="009078AD"/>
    <w:pPr>
      <w:keepNext/>
      <w:keepLines/>
      <w:widowControl/>
      <w:spacing w:before="280" w:after="80"/>
      <w:jc w:val="left"/>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9078AD"/>
    <w:pPr>
      <w:keepNext/>
      <w:keepLines/>
      <w:widowControl/>
      <w:spacing w:before="160" w:after="80"/>
      <w:jc w:val="left"/>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9078AD"/>
    <w:pPr>
      <w:keepNext/>
      <w:keepLines/>
      <w:widowControl/>
      <w:spacing w:before="160" w:after="80"/>
      <w:jc w:val="left"/>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9078AD"/>
    <w:pPr>
      <w:keepNext/>
      <w:keepLines/>
      <w:widowControl/>
      <w:spacing w:before="80" w:after="40"/>
      <w:jc w:val="left"/>
      <w:textAlignment w:val="auto"/>
      <w:outlineLvl w:val="3"/>
    </w:pPr>
    <w:rPr>
      <w:rFonts w:asciiTheme="majorHAnsi" w:eastAsiaTheme="majorEastAsia" w:hAnsiTheme="majorHAnsi" w:cstheme="majorBidi" w:hint="default"/>
      <w:color w:val="000000" w:themeColor="text1"/>
      <w:kern w:val="2"/>
      <w:sz w:val="24"/>
    </w:rPr>
  </w:style>
  <w:style w:type="paragraph" w:styleId="5">
    <w:name w:val="heading 5"/>
    <w:basedOn w:val="a"/>
    <w:next w:val="a"/>
    <w:link w:val="50"/>
    <w:uiPriority w:val="9"/>
    <w:semiHidden/>
    <w:unhideWhenUsed/>
    <w:qFormat/>
    <w:rsid w:val="009078AD"/>
    <w:pPr>
      <w:keepNext/>
      <w:keepLines/>
      <w:widowControl/>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4"/>
    </w:rPr>
  </w:style>
  <w:style w:type="paragraph" w:styleId="6">
    <w:name w:val="heading 6"/>
    <w:basedOn w:val="a"/>
    <w:next w:val="a"/>
    <w:link w:val="60"/>
    <w:uiPriority w:val="9"/>
    <w:semiHidden/>
    <w:unhideWhenUsed/>
    <w:qFormat/>
    <w:rsid w:val="009078AD"/>
    <w:pPr>
      <w:keepNext/>
      <w:keepLines/>
      <w:widowControl/>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4"/>
    </w:rPr>
  </w:style>
  <w:style w:type="paragraph" w:styleId="7">
    <w:name w:val="heading 7"/>
    <w:basedOn w:val="a"/>
    <w:next w:val="a"/>
    <w:link w:val="70"/>
    <w:uiPriority w:val="9"/>
    <w:semiHidden/>
    <w:unhideWhenUsed/>
    <w:qFormat/>
    <w:rsid w:val="009078AD"/>
    <w:pPr>
      <w:keepNext/>
      <w:keepLines/>
      <w:widowControl/>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4"/>
    </w:rPr>
  </w:style>
  <w:style w:type="paragraph" w:styleId="8">
    <w:name w:val="heading 8"/>
    <w:basedOn w:val="a"/>
    <w:next w:val="a"/>
    <w:link w:val="80"/>
    <w:uiPriority w:val="9"/>
    <w:semiHidden/>
    <w:unhideWhenUsed/>
    <w:qFormat/>
    <w:rsid w:val="009078AD"/>
    <w:pPr>
      <w:keepNext/>
      <w:keepLines/>
      <w:widowControl/>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4"/>
    </w:rPr>
  </w:style>
  <w:style w:type="paragraph" w:styleId="9">
    <w:name w:val="heading 9"/>
    <w:basedOn w:val="a"/>
    <w:next w:val="a"/>
    <w:link w:val="90"/>
    <w:uiPriority w:val="9"/>
    <w:semiHidden/>
    <w:unhideWhenUsed/>
    <w:qFormat/>
    <w:rsid w:val="009078AD"/>
    <w:pPr>
      <w:keepNext/>
      <w:keepLines/>
      <w:widowControl/>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78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78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78AD"/>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078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78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78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78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78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78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78AD"/>
    <w:pPr>
      <w:widowControl/>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9078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8AD"/>
    <w:pPr>
      <w:widowControl/>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9078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8AD"/>
    <w:pPr>
      <w:widowControl/>
      <w:spacing w:before="160" w:after="160"/>
      <w:jc w:val="center"/>
      <w:textAlignment w:val="auto"/>
    </w:pPr>
    <w:rPr>
      <w:rFonts w:ascii="ＭＳ 明朝" w:hAnsi="ＭＳ 明朝" w:cs="Times New Roman" w:hint="default"/>
      <w:i/>
      <w:iCs/>
      <w:color w:val="404040" w:themeColor="text1" w:themeTint="BF"/>
      <w:kern w:val="2"/>
      <w:sz w:val="24"/>
    </w:rPr>
  </w:style>
  <w:style w:type="character" w:customStyle="1" w:styleId="a8">
    <w:name w:val="引用文 (文字)"/>
    <w:basedOn w:val="a0"/>
    <w:link w:val="a7"/>
    <w:uiPriority w:val="29"/>
    <w:rsid w:val="009078AD"/>
    <w:rPr>
      <w:i/>
      <w:iCs/>
      <w:color w:val="404040" w:themeColor="text1" w:themeTint="BF"/>
    </w:rPr>
  </w:style>
  <w:style w:type="paragraph" w:styleId="a9">
    <w:name w:val="List Paragraph"/>
    <w:basedOn w:val="a"/>
    <w:uiPriority w:val="34"/>
    <w:qFormat/>
    <w:rsid w:val="009078AD"/>
    <w:pPr>
      <w:widowControl/>
      <w:ind w:left="720"/>
      <w:contextualSpacing/>
      <w:jc w:val="left"/>
      <w:textAlignment w:val="auto"/>
    </w:pPr>
    <w:rPr>
      <w:rFonts w:ascii="ＭＳ 明朝" w:hAnsi="ＭＳ 明朝" w:cs="Times New Roman" w:hint="default"/>
      <w:color w:val="auto"/>
      <w:kern w:val="2"/>
      <w:sz w:val="24"/>
    </w:rPr>
  </w:style>
  <w:style w:type="character" w:styleId="21">
    <w:name w:val="Intense Emphasis"/>
    <w:basedOn w:val="a0"/>
    <w:uiPriority w:val="21"/>
    <w:qFormat/>
    <w:rsid w:val="009078AD"/>
    <w:rPr>
      <w:i/>
      <w:iCs/>
      <w:color w:val="0F4761" w:themeColor="accent1" w:themeShade="BF"/>
    </w:rPr>
  </w:style>
  <w:style w:type="paragraph" w:styleId="22">
    <w:name w:val="Intense Quote"/>
    <w:basedOn w:val="a"/>
    <w:next w:val="a"/>
    <w:link w:val="23"/>
    <w:uiPriority w:val="30"/>
    <w:qFormat/>
    <w:rsid w:val="009078AD"/>
    <w:pPr>
      <w:widowControl/>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ＭＳ 明朝" w:hAnsi="ＭＳ 明朝" w:cs="Times New Roman" w:hint="default"/>
      <w:i/>
      <w:iCs/>
      <w:color w:val="0F4761" w:themeColor="accent1" w:themeShade="BF"/>
      <w:kern w:val="2"/>
      <w:sz w:val="24"/>
    </w:rPr>
  </w:style>
  <w:style w:type="character" w:customStyle="1" w:styleId="23">
    <w:name w:val="引用文 2 (文字)"/>
    <w:basedOn w:val="a0"/>
    <w:link w:val="22"/>
    <w:uiPriority w:val="30"/>
    <w:rsid w:val="009078AD"/>
    <w:rPr>
      <w:i/>
      <w:iCs/>
      <w:color w:val="0F4761" w:themeColor="accent1" w:themeShade="BF"/>
    </w:rPr>
  </w:style>
  <w:style w:type="character" w:styleId="24">
    <w:name w:val="Intense Reference"/>
    <w:basedOn w:val="a0"/>
    <w:uiPriority w:val="32"/>
    <w:qFormat/>
    <w:rsid w:val="009078AD"/>
    <w:rPr>
      <w:b/>
      <w:bCs/>
      <w:smallCaps/>
      <w:color w:val="0F4761" w:themeColor="accent1" w:themeShade="BF"/>
      <w:spacing w:val="5"/>
    </w:rPr>
  </w:style>
  <w:style w:type="paragraph" w:styleId="aa">
    <w:name w:val="header"/>
    <w:basedOn w:val="a"/>
    <w:link w:val="ab"/>
    <w:uiPriority w:val="99"/>
    <w:unhideWhenUsed/>
    <w:rsid w:val="005E165E"/>
    <w:pPr>
      <w:tabs>
        <w:tab w:val="center" w:pos="4252"/>
        <w:tab w:val="right" w:pos="8504"/>
      </w:tabs>
      <w:snapToGrid w:val="0"/>
    </w:pPr>
  </w:style>
  <w:style w:type="character" w:customStyle="1" w:styleId="ab">
    <w:name w:val="ヘッダー (文字)"/>
    <w:basedOn w:val="a0"/>
    <w:link w:val="aa"/>
    <w:uiPriority w:val="99"/>
    <w:rsid w:val="005E165E"/>
    <w:rPr>
      <w:rFonts w:ascii="Century" w:hAnsi="Century" w:cs="Arial"/>
      <w:color w:val="000000"/>
      <w:kern w:val="0"/>
      <w:sz w:val="21"/>
    </w:rPr>
  </w:style>
  <w:style w:type="paragraph" w:styleId="ac">
    <w:name w:val="footer"/>
    <w:basedOn w:val="a"/>
    <w:link w:val="ad"/>
    <w:uiPriority w:val="99"/>
    <w:unhideWhenUsed/>
    <w:rsid w:val="005E165E"/>
    <w:pPr>
      <w:tabs>
        <w:tab w:val="center" w:pos="4252"/>
        <w:tab w:val="right" w:pos="8504"/>
      </w:tabs>
      <w:snapToGrid w:val="0"/>
    </w:pPr>
  </w:style>
  <w:style w:type="character" w:customStyle="1" w:styleId="ad">
    <w:name w:val="フッター (文字)"/>
    <w:basedOn w:val="a0"/>
    <w:link w:val="ac"/>
    <w:uiPriority w:val="99"/>
    <w:rsid w:val="005E165E"/>
    <w:rPr>
      <w:rFonts w:ascii="Century" w:hAnsi="Century" w:cs="Arial"/>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1BE61-C745-46A6-A503-F34E9C91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18</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総務係 総務課</dc:creator>
  <cp:keywords/>
  <dc:description/>
  <cp:lastModifiedBy>100146</cp:lastModifiedBy>
  <cp:revision>9</cp:revision>
  <cp:lastPrinted>2025-01-26T04:02:00Z</cp:lastPrinted>
  <dcterms:created xsi:type="dcterms:W3CDTF">2025-01-24T11:06:00Z</dcterms:created>
  <dcterms:modified xsi:type="dcterms:W3CDTF">2025-12-16T02:47:00Z</dcterms:modified>
</cp:coreProperties>
</file>